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2D" w:rsidRPr="0003712D" w:rsidRDefault="0003712D" w:rsidP="00E5372F">
      <w:pPr>
        <w:shd w:val="clear" w:color="auto" w:fill="FFFFFF"/>
        <w:tabs>
          <w:tab w:val="left" w:pos="8505"/>
        </w:tabs>
        <w:spacing w:after="0" w:line="300" w:lineRule="auto"/>
        <w:ind w:left="340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3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ПРОЄКТ</w:t>
      </w:r>
    </w:p>
    <w:p w:rsidR="0003712D" w:rsidRPr="0003712D" w:rsidRDefault="0003712D" w:rsidP="00E5372F">
      <w:pPr>
        <w:shd w:val="clear" w:color="auto" w:fill="FFFFFF"/>
        <w:tabs>
          <w:tab w:val="left" w:pos="8505"/>
        </w:tabs>
        <w:spacing w:after="0" w:line="300" w:lineRule="auto"/>
        <w:ind w:left="34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03712D" w:rsidRPr="0003712D" w:rsidRDefault="0003712D" w:rsidP="00E5372F">
      <w:pPr>
        <w:shd w:val="clear" w:color="auto" w:fill="FFFFFF"/>
        <w:tabs>
          <w:tab w:val="left" w:pos="8505"/>
        </w:tabs>
        <w:spacing w:after="0" w:line="30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3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ЗАТВЕРДЖУЮ</w:t>
      </w:r>
    </w:p>
    <w:p w:rsidR="0003712D" w:rsidRPr="0003712D" w:rsidRDefault="0003712D" w:rsidP="00E5372F">
      <w:pPr>
        <w:shd w:val="clear" w:color="auto" w:fill="FFFFFF"/>
        <w:spacing w:after="0" w:line="30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В.о. директора ДУ «Інститут нейрохірургії</w:t>
      </w:r>
    </w:p>
    <w:p w:rsidR="0003712D" w:rsidRPr="0003712D" w:rsidRDefault="0003712D" w:rsidP="00E5372F">
      <w:pPr>
        <w:shd w:val="clear" w:color="auto" w:fill="FFFFFF"/>
        <w:tabs>
          <w:tab w:val="left" w:pos="9639"/>
        </w:tabs>
        <w:spacing w:after="0" w:line="30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ім. акад. А. П. </w:t>
      </w:r>
      <w:proofErr w:type="spellStart"/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Ромоданова</w:t>
      </w:r>
      <w:proofErr w:type="spellEnd"/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Національної академії медичних наук України»,</w:t>
      </w:r>
    </w:p>
    <w:p w:rsidR="0003712D" w:rsidRPr="0003712D" w:rsidRDefault="0003712D" w:rsidP="00E5372F">
      <w:pPr>
        <w:shd w:val="clear" w:color="auto" w:fill="FFFFFF"/>
        <w:tabs>
          <w:tab w:val="left" w:pos="9639"/>
        </w:tabs>
        <w:spacing w:after="0" w:line="30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proofErr w:type="spellStart"/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чл</w:t>
      </w:r>
      <w:proofErr w:type="spellEnd"/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.-</w:t>
      </w:r>
      <w:proofErr w:type="spellStart"/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кор</w:t>
      </w:r>
      <w:proofErr w:type="spellEnd"/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 НАМН України</w:t>
      </w:r>
    </w:p>
    <w:p w:rsidR="00E5372F" w:rsidRDefault="0003712D" w:rsidP="00E5372F">
      <w:pPr>
        <w:shd w:val="clear" w:color="auto" w:fill="FFFFFF"/>
        <w:tabs>
          <w:tab w:val="left" w:pos="9639"/>
        </w:tabs>
        <w:spacing w:after="0" w:line="30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__________</w:t>
      </w:r>
      <w:r w:rsidR="00E53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_________ </w:t>
      </w:r>
      <w:r w:rsidR="00E53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Володимир </w:t>
      </w:r>
      <w:r w:rsidRPr="0003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РОЗУМЕНКО</w:t>
      </w:r>
    </w:p>
    <w:p w:rsidR="0003712D" w:rsidRPr="0003712D" w:rsidRDefault="0003712D" w:rsidP="00E5372F">
      <w:pPr>
        <w:shd w:val="clear" w:color="auto" w:fill="FFFFFF"/>
        <w:tabs>
          <w:tab w:val="left" w:pos="9639"/>
        </w:tabs>
        <w:spacing w:after="0" w:line="30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Розглянуто та затверджено на засіданні вченої ради </w:t>
      </w:r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br/>
        <w:t>«</w:t>
      </w:r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uk-UA"/>
        </w:rPr>
        <w:t xml:space="preserve">     </w:t>
      </w:r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»  202</w:t>
      </w:r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uk-UA"/>
        </w:rPr>
        <w:t xml:space="preserve">    </w:t>
      </w:r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р., протокол №</w:t>
      </w:r>
      <w:r w:rsidRPr="0003712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uk-UA"/>
        </w:rPr>
        <w:t xml:space="preserve">…        </w:t>
      </w:r>
    </w:p>
    <w:p w:rsidR="0003712D" w:rsidRPr="0003712D" w:rsidRDefault="0003712D" w:rsidP="00E5372F">
      <w:pPr>
        <w:autoSpaceDE w:val="0"/>
        <w:autoSpaceDN w:val="0"/>
        <w:adjustRightInd w:val="0"/>
        <w:spacing w:after="0" w:line="30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A351C5" w:rsidRPr="0003712D" w:rsidRDefault="00A351C5" w:rsidP="0003712D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351C5" w:rsidRPr="0003712D" w:rsidRDefault="00A351C5" w:rsidP="0003712D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351C5" w:rsidRPr="0003712D" w:rsidRDefault="00A351C5" w:rsidP="0003712D">
      <w:pPr>
        <w:autoSpaceDE w:val="0"/>
        <w:autoSpaceDN w:val="0"/>
        <w:adjustRightInd w:val="0"/>
        <w:spacing w:after="0" w:line="30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ПОЛОЖЕННЯ</w:t>
      </w:r>
      <w:r w:rsidR="00684B56" w:rsidRPr="0003712D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="0003712D" w:rsidRPr="0003712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запобігання конфлікту інтересів під час проведення заходів безперервного професійного розвитку та недопущення залучення і використання коштів фізичних (юридичних) осіб для реклами лікарських засобів, медичних виробів, допоміжних засобів реабілітації або медичних послуг</w:t>
      </w:r>
    </w:p>
    <w:p w:rsidR="00487644" w:rsidRPr="0003712D" w:rsidRDefault="00487644" w:rsidP="0003712D">
      <w:pPr>
        <w:autoSpaceDE w:val="0"/>
        <w:autoSpaceDN w:val="0"/>
        <w:adjustRightInd w:val="0"/>
        <w:spacing w:after="0" w:line="30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0CA2" w:rsidRPr="0003712D" w:rsidRDefault="00F10CA2" w:rsidP="0003712D">
      <w:pPr>
        <w:pStyle w:val="a3"/>
        <w:numPr>
          <w:ilvl w:val="0"/>
          <w:numId w:val="8"/>
        </w:numPr>
        <w:spacing w:after="0" w:line="30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F10CA2" w:rsidRPr="0003712D" w:rsidRDefault="00F10CA2" w:rsidP="0003712D">
      <w:pPr>
        <w:pStyle w:val="a3"/>
        <w:numPr>
          <w:ilvl w:val="1"/>
          <w:numId w:val="8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</w:t>
      </w:r>
      <w:r w:rsidR="0003712D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про запобігання конфлікту інтересів під час проведення заходів безперервного професійного розвитку та недопущення залучення і використання коштів фізичних (юридичних) осіб для реклами лікарських засобів, медичних виробів, допоміжних засобів реабілітації або медичних послуг </w:t>
      </w:r>
      <w:r w:rsidR="00B547AE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(далі – Положення)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розроблено </w:t>
      </w:r>
      <w:r w:rsidR="00B547AE" w:rsidRPr="0003712D">
        <w:rPr>
          <w:rFonts w:ascii="Times New Roman" w:hAnsi="Times New Roman" w:cs="Times New Roman"/>
          <w:sz w:val="24"/>
          <w:szCs w:val="24"/>
          <w:lang w:val="uk-UA"/>
        </w:rPr>
        <w:t>з урахуванням вимог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запобігання корупції», Методичних рекомендацій </w:t>
      </w:r>
      <w:r w:rsidR="007E38C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щодо застосування окремих положень </w:t>
      </w:r>
      <w:bookmarkStart w:id="0" w:name="_Hlk90636818"/>
      <w:r w:rsidR="007E38C8" w:rsidRPr="0003712D">
        <w:rPr>
          <w:rFonts w:ascii="Times New Roman" w:hAnsi="Times New Roman" w:cs="Times New Roman"/>
          <w:sz w:val="24"/>
          <w:szCs w:val="24"/>
          <w:lang w:val="uk-UA"/>
        </w:rPr>
        <w:t>Закону України «Про запобігання корупції»</w:t>
      </w:r>
      <w:bookmarkEnd w:id="0"/>
      <w:r w:rsidR="007E38C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стосовно запобігання та врегулювання конфлікту інтересів, дотримання обмежень щодо запобігання корупції,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затверджених рішенням Національного агентства з питань запобігання корупції від </w:t>
      </w:r>
      <w:r w:rsidR="007E38C8" w:rsidRPr="0003712D">
        <w:rPr>
          <w:rFonts w:ascii="Times New Roman" w:hAnsi="Times New Roman" w:cs="Times New Roman"/>
          <w:sz w:val="24"/>
          <w:szCs w:val="24"/>
          <w:lang w:val="uk-UA"/>
        </w:rPr>
        <w:t>02.04.2021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7E38C8" w:rsidRPr="0003712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D132D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КМУ від 14 липня 2021 р. № 725 Про затвердження Положення про систему безперервного професійного розвитку медичних та фармацевтичних працівників, </w:t>
      </w:r>
      <w:r w:rsidR="00B547AE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Статуту Державної установи «Інститут нейрохірургії ім. акад. А.П. </w:t>
      </w:r>
      <w:proofErr w:type="spellStart"/>
      <w:r w:rsidR="00B547AE" w:rsidRPr="0003712D">
        <w:rPr>
          <w:rFonts w:ascii="Times New Roman" w:hAnsi="Times New Roman" w:cs="Times New Roman"/>
          <w:sz w:val="24"/>
          <w:szCs w:val="24"/>
          <w:lang w:val="uk-UA"/>
        </w:rPr>
        <w:t>Ромоданова</w:t>
      </w:r>
      <w:proofErr w:type="spellEnd"/>
      <w:r w:rsidR="00B547AE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академії медичних наук України», Кодексу корпоративної етики науковців, лікарів і медичних працівників Державної установи «Інститут нейрохірургії ім. акад. А.П. </w:t>
      </w:r>
      <w:proofErr w:type="spellStart"/>
      <w:r w:rsidR="00B547AE" w:rsidRPr="0003712D">
        <w:rPr>
          <w:rFonts w:ascii="Times New Roman" w:hAnsi="Times New Roman" w:cs="Times New Roman"/>
          <w:sz w:val="24"/>
          <w:szCs w:val="24"/>
          <w:lang w:val="uk-UA"/>
        </w:rPr>
        <w:t>Ромоданова</w:t>
      </w:r>
      <w:proofErr w:type="spellEnd"/>
      <w:r w:rsidR="00B547AE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академії медичних наук України»</w:t>
      </w:r>
      <w:r w:rsidR="00684B56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(далі – ДУ «ІНХ НАМН»)</w:t>
      </w:r>
      <w:r w:rsidR="00B547AE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і створює механізми та регулює порядок виявлення, запобігання та врегулювання конфлікту інтересів у діяльності</w:t>
      </w:r>
      <w:r w:rsidR="00FC70B6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організаторів та учасників освітніх заходів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712D" w:rsidRDefault="00B547AE" w:rsidP="002B08DF">
      <w:pPr>
        <w:pStyle w:val="a3"/>
        <w:numPr>
          <w:ilvl w:val="1"/>
          <w:numId w:val="8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У Положенні додатково, окрім законів та постанов України, використані, проаналізовані (за необхідності викладені у редакції відповідно до особливостей і діяльності ДУ «ІНХ НАМН») інформаційні матеріали з відкритих джерел електронних ресурсів - сайтів (у тому числі щодо нормативної бази) вітчизняних закладів вищої освіти, наукових установ, тощо.</w:t>
      </w:r>
    </w:p>
    <w:p w:rsidR="0003712D" w:rsidRPr="0003712D" w:rsidRDefault="00B547AE" w:rsidP="002B08DF">
      <w:pPr>
        <w:pStyle w:val="a3"/>
        <w:numPr>
          <w:ilvl w:val="1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03712D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запобігання конфлікту інтересів під час проведення заходів безперервного професійного розвитку та недопущення залучення і використання коштів фізичних (юридичних) осіб для реклами лікарських засобів, медичних виробів, допоміжних засобів реабілітації або медичних послуг визначає основні засади здійснення безперервного професійного розвитку медичних працівників, які проводяться </w:t>
      </w:r>
      <w:r w:rsidR="0003712D">
        <w:rPr>
          <w:rFonts w:ascii="Times New Roman" w:hAnsi="Times New Roman" w:cs="Times New Roman"/>
          <w:sz w:val="24"/>
          <w:szCs w:val="24"/>
          <w:lang w:val="uk-UA"/>
        </w:rPr>
        <w:t>ДУ «ІНХ НАМН»</w:t>
      </w:r>
      <w:r w:rsidR="0003712D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(далі - Організатор), для використання в роботі Організатора і визначає шляхи запобігання конфлікту інтересів під час проведення заходів безперервного професійного розвитку та недопущення залучення і використання коштів фізичних (юридичних) осіб для реклами лікарських засобів, медичних виробів, допоміжних засобів реабілітації або медичних послуг.</w:t>
      </w:r>
    </w:p>
    <w:p w:rsidR="0003712D" w:rsidRPr="0003712D" w:rsidRDefault="0003712D" w:rsidP="002B08DF">
      <w:pPr>
        <w:pStyle w:val="a3"/>
        <w:numPr>
          <w:ilvl w:val="1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Заходи безперервного професійного розвитку проводяться Організатором відповідно до постанови Кабінету Міністрів України від 14.07.2021 №725 «Про затвердження Положення про систему безперервного професійного розвитку працівників сфери охорони здоров’я» та інших нормативних документів, що регламентують безперервний професійний розвиток працівників сфери охорони здоров’я.</w:t>
      </w:r>
    </w:p>
    <w:p w:rsidR="00F10CA2" w:rsidRPr="0003712D" w:rsidRDefault="00F10CA2" w:rsidP="002B08DF">
      <w:pPr>
        <w:pStyle w:val="a3"/>
        <w:numPr>
          <w:ilvl w:val="1"/>
          <w:numId w:val="8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Окремі питання, не зазначені у цьому Положенні, регулюються згідно з чинним законодавством України.</w:t>
      </w:r>
    </w:p>
    <w:p w:rsidR="00937E68" w:rsidRPr="0003712D" w:rsidRDefault="00937E68" w:rsidP="0003712D">
      <w:p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61C7" w:rsidRDefault="002E07F1" w:rsidP="002E07F1">
      <w:pPr>
        <w:pStyle w:val="a3"/>
        <w:numPr>
          <w:ilvl w:val="0"/>
          <w:numId w:val="8"/>
        </w:numPr>
        <w:spacing w:after="0" w:line="30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Основні вимоги</w:t>
      </w:r>
      <w:r w:rsidR="001D4663" w:rsidRPr="000371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23C8F" w:rsidRPr="0003712D">
        <w:rPr>
          <w:rFonts w:ascii="Times New Roman" w:hAnsi="Times New Roman" w:cs="Times New Roman"/>
          <w:b/>
          <w:sz w:val="24"/>
          <w:szCs w:val="24"/>
          <w:lang w:val="uk-UA"/>
        </w:rPr>
        <w:t>запобігання конфлікту інтересів під час проведення заходів безперервного професійного розвитку</w:t>
      </w:r>
      <w:r w:rsidRPr="002E07F1">
        <w:rPr>
          <w:lang w:val="uk-UA"/>
        </w:rPr>
        <w:t xml:space="preserve"> </w:t>
      </w:r>
      <w:r w:rsidRPr="002E07F1">
        <w:rPr>
          <w:rFonts w:ascii="Times New Roman" w:hAnsi="Times New Roman" w:cs="Times New Roman"/>
          <w:b/>
          <w:sz w:val="24"/>
          <w:szCs w:val="24"/>
          <w:lang w:val="uk-UA"/>
        </w:rPr>
        <w:t>та недопущення залучення і використання коштів фізичних (юридичних) осіб для реклами лікарських засобів, медичних виробів, допоміжних засобів реабілітації або медичних послуг</w:t>
      </w:r>
    </w:p>
    <w:p w:rsidR="002B08DF" w:rsidRPr="0003712D" w:rsidRDefault="002B08DF" w:rsidP="002B08DF">
      <w:pPr>
        <w:pStyle w:val="a3"/>
        <w:spacing w:after="0" w:line="300" w:lineRule="auto"/>
        <w:contextualSpacing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7E68" w:rsidRPr="0003712D" w:rsidRDefault="00937E68" w:rsidP="002B08DF">
      <w:pPr>
        <w:pStyle w:val="a3"/>
        <w:numPr>
          <w:ilvl w:val="1"/>
          <w:numId w:val="8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Принципи запобігання конфлікту інтересів під час проведення заходів БПР:</w:t>
      </w:r>
    </w:p>
    <w:p w:rsidR="00937E68" w:rsidRPr="0003712D" w:rsidRDefault="00937E68" w:rsidP="002B08DF">
      <w:pPr>
        <w:pStyle w:val="a3"/>
        <w:numPr>
          <w:ilvl w:val="0"/>
          <w:numId w:val="13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не провадити</w:t>
      </w:r>
      <w:r w:rsidR="00E5372F" w:rsidRPr="00E5372F">
        <w:rPr>
          <w:lang w:val="uk-UA"/>
        </w:rPr>
        <w:t xml:space="preserve"> </w:t>
      </w:r>
      <w:r w:rsidR="00E5372F" w:rsidRPr="00E5372F">
        <w:rPr>
          <w:rFonts w:ascii="Times New Roman" w:hAnsi="Times New Roman" w:cs="Times New Roman"/>
          <w:sz w:val="24"/>
          <w:szCs w:val="24"/>
          <w:lang w:val="uk-UA"/>
        </w:rPr>
        <w:t>заход</w:t>
      </w:r>
      <w:r w:rsidR="00E5372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5372F" w:rsidRPr="00E5372F">
        <w:rPr>
          <w:rFonts w:ascii="Times New Roman" w:hAnsi="Times New Roman" w:cs="Times New Roman"/>
          <w:sz w:val="24"/>
          <w:szCs w:val="24"/>
          <w:lang w:val="uk-UA"/>
        </w:rPr>
        <w:t xml:space="preserve"> безперервного професійного розвитку</w:t>
      </w:r>
      <w:r w:rsidR="00E5372F" w:rsidRPr="00E5372F">
        <w:rPr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безпосередньо або із </w:t>
      </w:r>
      <w:r w:rsidR="0003712D" w:rsidRPr="0003712D">
        <w:rPr>
          <w:rFonts w:ascii="Times New Roman" w:hAnsi="Times New Roman" w:cs="Times New Roman"/>
          <w:sz w:val="24"/>
          <w:szCs w:val="24"/>
          <w:lang w:val="uk-UA"/>
        </w:rPr>
        <w:t>залучення</w:t>
      </w:r>
      <w:r w:rsidR="00E5372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3712D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і використання</w:t>
      </w:r>
      <w:r w:rsidR="00E5372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3712D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коштів фізичних (юридичних) осіб для реклами лікарських засобів, медичних виробів, допоміжних засобів реабілітації або медичних послуг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37E68" w:rsidRPr="0003712D" w:rsidRDefault="00937E68" w:rsidP="002B08DF">
      <w:pPr>
        <w:pStyle w:val="a3"/>
        <w:numPr>
          <w:ilvl w:val="0"/>
          <w:numId w:val="13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не залучати до складу засновників (учасників, власників) або органів управління осіб, які провадять діяльність, пов’язану з виробництвом, оптовою та роздрібною торгівлею, імпортом лікарських засобів та медичних виробів, </w:t>
      </w:r>
      <w:r w:rsidR="002E07F1" w:rsidRPr="002E07F1">
        <w:rPr>
          <w:rFonts w:ascii="Times New Roman" w:hAnsi="Times New Roman" w:cs="Times New Roman"/>
          <w:sz w:val="24"/>
          <w:szCs w:val="24"/>
          <w:lang w:val="uk-UA"/>
        </w:rPr>
        <w:t>допоміжних засобів реабілітації або медичних послуг</w:t>
      </w:r>
      <w:r w:rsidR="002B08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07F1" w:rsidRPr="002E07F1" w:rsidRDefault="002E07F1" w:rsidP="002B08DF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7F1">
        <w:rPr>
          <w:rFonts w:ascii="Times New Roman" w:hAnsi="Times New Roman" w:cs="Times New Roman"/>
          <w:sz w:val="24"/>
          <w:szCs w:val="24"/>
          <w:lang w:val="uk-UA"/>
        </w:rPr>
        <w:t xml:space="preserve">Фінансові та матеріальні витрати на організацію та проведення заходів забезпечуються за рахунок джерел позабюджетного фінансування, у </w:t>
      </w:r>
      <w:proofErr w:type="spellStart"/>
      <w:r w:rsidRPr="002E07F1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2E07F1">
        <w:rPr>
          <w:rFonts w:ascii="Times New Roman" w:hAnsi="Times New Roman" w:cs="Times New Roman"/>
          <w:sz w:val="24"/>
          <w:szCs w:val="24"/>
          <w:lang w:val="uk-UA"/>
        </w:rPr>
        <w:t>. грошових внесків учасників заходів, партнерів, наукових медичних товариств, громадських організацій тощо.</w:t>
      </w:r>
    </w:p>
    <w:p w:rsidR="002B08DF" w:rsidRPr="002B08DF" w:rsidRDefault="002B08DF" w:rsidP="002B08DF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8DF">
        <w:rPr>
          <w:rFonts w:ascii="Times New Roman" w:hAnsi="Times New Roman" w:cs="Times New Roman"/>
          <w:sz w:val="24"/>
          <w:szCs w:val="24"/>
          <w:lang w:val="uk-UA"/>
        </w:rPr>
        <w:t xml:space="preserve">Співорганізаторами заходів </w:t>
      </w:r>
      <w:r>
        <w:rPr>
          <w:rFonts w:ascii="Times New Roman" w:hAnsi="Times New Roman" w:cs="Times New Roman"/>
          <w:sz w:val="24"/>
          <w:szCs w:val="24"/>
          <w:lang w:val="uk-UA"/>
        </w:rPr>
        <w:t>БПР</w:t>
      </w:r>
      <w:r w:rsidRPr="002B08DF">
        <w:rPr>
          <w:rFonts w:ascii="Times New Roman" w:hAnsi="Times New Roman" w:cs="Times New Roman"/>
          <w:sz w:val="24"/>
          <w:szCs w:val="24"/>
          <w:lang w:val="uk-UA"/>
        </w:rPr>
        <w:t xml:space="preserve"> можуть бути вітчизняні організації та установи, партнери, громадські організації, зарубіжні фахові організації та окремі особи за згодою Організатора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0CA2" w:rsidRPr="0003712D" w:rsidRDefault="002B08DF" w:rsidP="002B08DF">
      <w:pPr>
        <w:pStyle w:val="a3"/>
        <w:numPr>
          <w:ilvl w:val="1"/>
          <w:numId w:val="8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Організатор зобов’</w:t>
      </w:r>
      <w:r w:rsidR="00F10CA2" w:rsidRPr="0003712D">
        <w:rPr>
          <w:rFonts w:ascii="Times New Roman" w:hAnsi="Times New Roman" w:cs="Times New Roman"/>
          <w:sz w:val="24"/>
          <w:szCs w:val="24"/>
          <w:lang w:val="uk-UA"/>
        </w:rPr>
        <w:t>язан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F10CA2" w:rsidRPr="0003712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10CA2" w:rsidRPr="0003712D" w:rsidRDefault="00F10CA2" w:rsidP="002B08DF">
      <w:pPr>
        <w:pStyle w:val="a3"/>
        <w:numPr>
          <w:ilvl w:val="0"/>
          <w:numId w:val="14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вживати заходів щодо недопущення виникнення реального,</w:t>
      </w:r>
      <w:r w:rsidR="008C53C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потенційного чи уявного конфлікту інтересів;</w:t>
      </w:r>
    </w:p>
    <w:p w:rsidR="00F10CA2" w:rsidRPr="0003712D" w:rsidRDefault="00F10CA2" w:rsidP="002B08DF">
      <w:pPr>
        <w:pStyle w:val="a3"/>
        <w:numPr>
          <w:ilvl w:val="0"/>
          <w:numId w:val="14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не вчиняти дій та не приймати рішень в умовах реального чи</w:t>
      </w:r>
      <w:r w:rsidR="008C53C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потенційного конфлікту інтересів;</w:t>
      </w:r>
    </w:p>
    <w:p w:rsidR="00F10CA2" w:rsidRDefault="00F10CA2" w:rsidP="002B08DF">
      <w:pPr>
        <w:pStyle w:val="a3"/>
        <w:numPr>
          <w:ilvl w:val="0"/>
          <w:numId w:val="14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вжити заходів щодо врегулювання реального чи потенційного</w:t>
      </w:r>
      <w:r w:rsidR="008C53C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DF">
        <w:rPr>
          <w:rFonts w:ascii="Times New Roman" w:hAnsi="Times New Roman" w:cs="Times New Roman"/>
          <w:sz w:val="24"/>
          <w:szCs w:val="24"/>
          <w:lang w:val="uk-UA"/>
        </w:rPr>
        <w:t>конфлікту інтересів;</w:t>
      </w:r>
    </w:p>
    <w:p w:rsidR="002B08DF" w:rsidRDefault="002B08DF" w:rsidP="002B08DF">
      <w:pPr>
        <w:pStyle w:val="a3"/>
        <w:numPr>
          <w:ilvl w:val="0"/>
          <w:numId w:val="14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8D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не допускати залучення та використання коштів для реклами лікарських засобів, медичних виробів, допоміжних засобів реабілітації або медичних послуг під час проведення заходів </w:t>
      </w:r>
      <w:r>
        <w:rPr>
          <w:rFonts w:ascii="Times New Roman" w:hAnsi="Times New Roman" w:cs="Times New Roman"/>
          <w:sz w:val="24"/>
          <w:szCs w:val="24"/>
          <w:lang w:val="uk-UA"/>
        </w:rPr>
        <w:t>БПР;</w:t>
      </w:r>
    </w:p>
    <w:p w:rsidR="001550BB" w:rsidRPr="001550BB" w:rsidRDefault="001550BB" w:rsidP="001550BB">
      <w:pPr>
        <w:pStyle w:val="a3"/>
        <w:numPr>
          <w:ilvl w:val="1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Організаційний комітет заходу </w:t>
      </w:r>
      <w:r>
        <w:rPr>
          <w:rFonts w:ascii="Times New Roman" w:hAnsi="Times New Roman" w:cs="Times New Roman"/>
          <w:sz w:val="24"/>
          <w:szCs w:val="24"/>
          <w:lang w:val="uk-UA"/>
        </w:rPr>
        <w:t>БПР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абезпечує моніторинг про відсутність 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>реклами лікарських засобів, медичних виробів, допоміжних засобів реабілітації або медичних послуг під час проведення заходу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оформлює протокол щодо незалучення 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рекламного </w:t>
      </w:r>
      <w:r>
        <w:rPr>
          <w:rFonts w:ascii="Times New Roman" w:hAnsi="Times New Roman" w:cs="Times New Roman"/>
          <w:sz w:val="24"/>
          <w:szCs w:val="24"/>
          <w:lang w:val="uk-UA"/>
        </w:rPr>
        <w:t>контенту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50BB" w:rsidRPr="0003712D" w:rsidRDefault="001550BB" w:rsidP="001550BB">
      <w:pPr>
        <w:pStyle w:val="a3"/>
        <w:spacing w:after="0" w:line="30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53C8" w:rsidRPr="0003712D" w:rsidRDefault="008C53C8" w:rsidP="0003712D">
      <w:p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0CA2" w:rsidRPr="0003712D" w:rsidRDefault="00F10CA2" w:rsidP="0003712D">
      <w:pPr>
        <w:pStyle w:val="a3"/>
        <w:numPr>
          <w:ilvl w:val="0"/>
          <w:numId w:val="8"/>
        </w:numPr>
        <w:spacing w:after="0" w:line="30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b/>
          <w:sz w:val="24"/>
          <w:szCs w:val="24"/>
          <w:lang w:val="uk-UA"/>
        </w:rPr>
        <w:t>Дії щодо врегулювання конфлікту інтересів</w:t>
      </w:r>
    </w:p>
    <w:p w:rsidR="00F10CA2" w:rsidRPr="0003712D" w:rsidRDefault="00F10CA2" w:rsidP="00873A73">
      <w:pPr>
        <w:pStyle w:val="a3"/>
        <w:numPr>
          <w:ilvl w:val="1"/>
          <w:numId w:val="8"/>
        </w:numPr>
        <w:spacing w:after="0" w:line="30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У разі виникнення реального чи потенційного конфлікту інтересів у</w:t>
      </w:r>
      <w:r w:rsidR="008C53C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посадової особи, яка входить до складу колегіального органу</w:t>
      </w:r>
      <w:r w:rsidR="008C53C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70B6" w:rsidRPr="0003712D">
        <w:rPr>
          <w:rFonts w:ascii="Times New Roman" w:hAnsi="Times New Roman" w:cs="Times New Roman"/>
          <w:sz w:val="24"/>
          <w:szCs w:val="24"/>
          <w:lang w:val="uk-UA"/>
        </w:rPr>
        <w:t>організаційний комітет освітніх заходів БПР (</w:t>
      </w:r>
      <w:r w:rsidR="00EE7A85" w:rsidRPr="0003712D">
        <w:rPr>
          <w:rFonts w:ascii="Times New Roman" w:hAnsi="Times New Roman" w:cs="Times New Roman"/>
          <w:sz w:val="24"/>
          <w:szCs w:val="24"/>
          <w:lang w:val="uk-UA"/>
        </w:rPr>
        <w:t>майстер-клас, семінар, тренінг, фахова школа, науково-практична конференція, з’їзд та ін.</w:t>
      </w:r>
      <w:r w:rsidR="00FC70B6" w:rsidRPr="0003712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37E6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Вчена рада,  атестаційна комісія тощо),</w:t>
      </w:r>
      <w:r w:rsidR="008C53C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вона не має права брати участь у прийнятті рішення цим органом, а саме:</w:t>
      </w:r>
    </w:p>
    <w:p w:rsidR="00F10CA2" w:rsidRPr="0003712D" w:rsidRDefault="00F10CA2" w:rsidP="00873A73">
      <w:pPr>
        <w:pStyle w:val="a3"/>
        <w:numPr>
          <w:ilvl w:val="0"/>
          <w:numId w:val="15"/>
        </w:numPr>
        <w:spacing w:after="0" w:line="30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забороняється враховувати особу, у якої виник реальний чи потенційний</w:t>
      </w:r>
      <w:r w:rsidR="008C53C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конфлікт інтересів під час визначення кількості членів, необхідних для</w:t>
      </w:r>
      <w:r w:rsidR="008C53C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правомочності розгляду колегіальним органом відповідного питання;</w:t>
      </w:r>
    </w:p>
    <w:p w:rsidR="00F10CA2" w:rsidRPr="0003712D" w:rsidRDefault="00F10CA2" w:rsidP="00873A73">
      <w:pPr>
        <w:pStyle w:val="a3"/>
        <w:numPr>
          <w:ilvl w:val="0"/>
          <w:numId w:val="15"/>
        </w:numPr>
        <w:spacing w:after="0" w:line="30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забороняється участь особи, у якої виник реальний чи потенційний</w:t>
      </w:r>
      <w:r w:rsidR="008C53C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конфлікт інтересів в розгляді (обговоренні) такого питання;</w:t>
      </w:r>
    </w:p>
    <w:p w:rsidR="00F10CA2" w:rsidRPr="0003712D" w:rsidRDefault="00F10CA2" w:rsidP="00873A73">
      <w:pPr>
        <w:pStyle w:val="a3"/>
        <w:numPr>
          <w:ilvl w:val="0"/>
          <w:numId w:val="15"/>
        </w:numPr>
        <w:spacing w:after="0" w:line="30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забороняється участь особи, у якої виник реальний чи потенційний</w:t>
      </w:r>
      <w:r w:rsidR="008C53C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конфлікт інтересів в прийнятті рішення колегіальним органом</w:t>
      </w:r>
      <w:r w:rsidR="008C53C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(голосуванні) з такого питання, а саме голосувати «за», «проти»,</w:t>
      </w:r>
      <w:r w:rsidR="008C53C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«утримався».</w:t>
      </w:r>
    </w:p>
    <w:p w:rsidR="00F10CA2" w:rsidRPr="001550BB" w:rsidRDefault="00F10CA2" w:rsidP="00873A73">
      <w:pPr>
        <w:pStyle w:val="a3"/>
        <w:numPr>
          <w:ilvl w:val="1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Про конфлікт інтересів посадової особи </w:t>
      </w:r>
      <w:r w:rsidR="00866DB8" w:rsidRPr="001550BB">
        <w:rPr>
          <w:rFonts w:ascii="Times New Roman" w:hAnsi="Times New Roman" w:cs="Times New Roman"/>
          <w:sz w:val="24"/>
          <w:szCs w:val="24"/>
          <w:lang w:val="uk-UA"/>
        </w:rPr>
        <w:t>ДУ «ІНХ НАМН»</w:t>
      </w:r>
      <w:r w:rsidR="00EE7A85" w:rsidRPr="001550BB">
        <w:rPr>
          <w:rFonts w:ascii="Times New Roman" w:hAnsi="Times New Roman" w:cs="Times New Roman"/>
          <w:sz w:val="24"/>
          <w:szCs w:val="24"/>
          <w:lang w:val="uk-UA"/>
        </w:rPr>
        <w:t>, організаторів та членів освітніх заходів БПР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 може заявити будь-який інший член відповідного колегіального органу або учасник засідання,</w:t>
      </w:r>
      <w:r w:rsidR="00866DB8"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>якого безпосередньо стосується питання, що розглядається. Заява про</w:t>
      </w:r>
      <w:r w:rsidR="00866DB8"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>конфлікт інтересів члена колегіального органу заноситься в протокол</w:t>
      </w:r>
      <w:r w:rsidR="00866DB8"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>засідання колегіального органу</w:t>
      </w:r>
      <w:r w:rsidR="00D10C76"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0CA2" w:rsidRPr="001550BB" w:rsidRDefault="00F10CA2" w:rsidP="00873A73">
      <w:pPr>
        <w:pStyle w:val="a3"/>
        <w:numPr>
          <w:ilvl w:val="1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У разі якщо неучасть посадової особи </w:t>
      </w:r>
      <w:r w:rsidR="00866DB8" w:rsidRPr="001550BB">
        <w:rPr>
          <w:rFonts w:ascii="Times New Roman" w:hAnsi="Times New Roman" w:cs="Times New Roman"/>
          <w:sz w:val="24"/>
          <w:szCs w:val="24"/>
          <w:lang w:val="uk-UA"/>
        </w:rPr>
        <w:t>ДУ «ІНХ НАМН»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>, яка входить до складу</w:t>
      </w:r>
      <w:r w:rsidR="00866DB8"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>колегіального органу, у прийнятті рішень цим органом призведе до втрати</w:t>
      </w:r>
      <w:r w:rsidR="00866DB8"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>правомочності цього органу, участь такої особи у прийнятті рішень має</w:t>
      </w:r>
      <w:r w:rsidR="00866DB8"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>здійснюватися під зовнішнім контролем.</w:t>
      </w:r>
      <w:r w:rsidR="00C661C7"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>Рішення про здійснення зовнішнього контролю приймається</w:t>
      </w:r>
      <w:r w:rsidR="00866DB8" w:rsidRPr="00155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50BB">
        <w:rPr>
          <w:rFonts w:ascii="Times New Roman" w:hAnsi="Times New Roman" w:cs="Times New Roman"/>
          <w:sz w:val="24"/>
          <w:szCs w:val="24"/>
          <w:lang w:val="uk-UA"/>
        </w:rPr>
        <w:t>відповідним колегіальним органом.</w:t>
      </w:r>
    </w:p>
    <w:p w:rsidR="00F10CA2" w:rsidRPr="00873A73" w:rsidRDefault="00F10CA2" w:rsidP="00873A73">
      <w:pPr>
        <w:pStyle w:val="a3"/>
        <w:numPr>
          <w:ilvl w:val="1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A73">
        <w:rPr>
          <w:rFonts w:ascii="Times New Roman" w:hAnsi="Times New Roman" w:cs="Times New Roman"/>
          <w:sz w:val="24"/>
          <w:szCs w:val="24"/>
          <w:lang w:val="uk-UA"/>
        </w:rPr>
        <w:t>Особи, уповноважені на ведення протоколів колегіальних органів</w:t>
      </w:r>
      <w:r w:rsidR="00866DB8" w:rsidRPr="00873A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3A73">
        <w:rPr>
          <w:rFonts w:ascii="Times New Roman" w:hAnsi="Times New Roman" w:cs="Times New Roman"/>
          <w:sz w:val="24"/>
          <w:szCs w:val="24"/>
          <w:lang w:val="uk-UA"/>
        </w:rPr>
        <w:t>(секретарі) зобов'язані протягом одного дня з часу оформлення протоколу</w:t>
      </w:r>
      <w:r w:rsidR="00866DB8" w:rsidRPr="00873A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3A73">
        <w:rPr>
          <w:rFonts w:ascii="Times New Roman" w:hAnsi="Times New Roman" w:cs="Times New Roman"/>
          <w:sz w:val="24"/>
          <w:szCs w:val="24"/>
          <w:lang w:val="uk-UA"/>
        </w:rPr>
        <w:t>надавати витяг з протоколу, в якому було зафіксовано заяву про конфлікт</w:t>
      </w:r>
      <w:r w:rsidR="00866DB8" w:rsidRPr="00873A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3A73">
        <w:rPr>
          <w:rFonts w:ascii="Times New Roman" w:hAnsi="Times New Roman" w:cs="Times New Roman"/>
          <w:sz w:val="24"/>
          <w:szCs w:val="24"/>
          <w:lang w:val="uk-UA"/>
        </w:rPr>
        <w:t xml:space="preserve">інтересів </w:t>
      </w:r>
      <w:r w:rsidR="00866DB8" w:rsidRPr="00873A73">
        <w:rPr>
          <w:rFonts w:ascii="Times New Roman" w:hAnsi="Times New Roman" w:cs="Times New Roman"/>
          <w:sz w:val="24"/>
          <w:szCs w:val="24"/>
          <w:lang w:val="uk-UA"/>
        </w:rPr>
        <w:t>директору</w:t>
      </w:r>
      <w:r w:rsidRPr="00873A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6DB8" w:rsidRPr="00873A73">
        <w:rPr>
          <w:rFonts w:ascii="Times New Roman" w:hAnsi="Times New Roman" w:cs="Times New Roman"/>
          <w:sz w:val="24"/>
          <w:szCs w:val="24"/>
          <w:lang w:val="uk-UA"/>
        </w:rPr>
        <w:t>ДУ «ІНХ НАМН»</w:t>
      </w:r>
      <w:r w:rsidRPr="00873A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0CA2" w:rsidRPr="0003712D" w:rsidRDefault="00F10CA2" w:rsidP="00873A73">
      <w:pPr>
        <w:pStyle w:val="a3"/>
        <w:numPr>
          <w:ilvl w:val="1"/>
          <w:numId w:val="8"/>
        </w:numPr>
        <w:spacing w:after="0" w:line="30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У разі виникнення реального чи потенційного конфлікту інтересів у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посадових осіб 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>ДУ «ІНХ НАМН»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не в складі колегіального органу, такі посадові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особи повідомляють не пізніше наступного робочого дня з моменту, коли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особа дізналася чи повинна була дізнатися про наявність у неї реального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чи потенційного конфлікту інтересів, безпосереднього керівника або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, шляхом надання повідомлення про реальний або потенційний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конфлікт інтересів. Безпосередній керівник або керівник органу, до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повноважень якого належить звільнення/ініціювання звільнення з посади,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якому стало відомо про конфлікт інтересів підлеглої йому особи,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зобов’язаний вжити передбачені Законом заходи для запобігання та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врегулювання конфлікту інтересів такої особи.</w:t>
      </w:r>
    </w:p>
    <w:p w:rsidR="00F10CA2" w:rsidRPr="0003712D" w:rsidRDefault="00621DE2" w:rsidP="001B7D79">
      <w:pPr>
        <w:pStyle w:val="a3"/>
        <w:numPr>
          <w:ilvl w:val="1"/>
          <w:numId w:val="8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Врегулювання конфлікту інтересів</w:t>
      </w:r>
      <w:r w:rsidR="00A0509A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відповідно до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09A" w:rsidRPr="0003712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10CA2" w:rsidRPr="0003712D">
        <w:rPr>
          <w:rFonts w:ascii="Times New Roman" w:hAnsi="Times New Roman" w:cs="Times New Roman"/>
          <w:sz w:val="24"/>
          <w:szCs w:val="24"/>
          <w:lang w:val="uk-UA"/>
        </w:rPr>
        <w:t>татт</w:t>
      </w:r>
      <w:r w:rsidR="00A0509A" w:rsidRPr="0003712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10CA2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29 </w:t>
      </w:r>
      <w:r w:rsidR="00A0509A" w:rsidRPr="0003712D">
        <w:rPr>
          <w:rFonts w:ascii="Times New Roman" w:hAnsi="Times New Roman" w:cs="Times New Roman"/>
          <w:sz w:val="24"/>
          <w:szCs w:val="24"/>
          <w:lang w:val="uk-UA"/>
        </w:rPr>
        <w:t>Закону України «Про запобігання корупції»</w:t>
      </w:r>
      <w:r w:rsidR="00F10CA2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шляхом:</w:t>
      </w:r>
    </w:p>
    <w:p w:rsidR="00F10CA2" w:rsidRPr="0003712D" w:rsidRDefault="00F10CA2" w:rsidP="001B7D79">
      <w:pPr>
        <w:pStyle w:val="a3"/>
        <w:numPr>
          <w:ilvl w:val="0"/>
          <w:numId w:val="17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усунення особи від виконання завдання, вчинення дій, прийняття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рішення чи участі в його прийнятті в умовах реального чи потенційного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конфлікту інтересів;</w:t>
      </w:r>
    </w:p>
    <w:p w:rsidR="00F10CA2" w:rsidRPr="0003712D" w:rsidRDefault="00F10CA2" w:rsidP="001B7D79">
      <w:pPr>
        <w:pStyle w:val="a3"/>
        <w:numPr>
          <w:ilvl w:val="0"/>
          <w:numId w:val="17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застосування зовнішнього контролю за виконанням особою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відповідного завдання, вчиненням нею певних дій чи прийняття рішень;</w:t>
      </w:r>
    </w:p>
    <w:p w:rsidR="00F10CA2" w:rsidRPr="0003712D" w:rsidRDefault="00F10CA2" w:rsidP="001B7D79">
      <w:pPr>
        <w:pStyle w:val="a3"/>
        <w:numPr>
          <w:ilvl w:val="0"/>
          <w:numId w:val="17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обмеження доступу особи до певної інформації;</w:t>
      </w:r>
    </w:p>
    <w:p w:rsidR="00F10CA2" w:rsidRPr="0003712D" w:rsidRDefault="00F10CA2" w:rsidP="001B7D79">
      <w:pPr>
        <w:pStyle w:val="a3"/>
        <w:numPr>
          <w:ilvl w:val="0"/>
          <w:numId w:val="17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перегляд обсягу службових повноважень особи;</w:t>
      </w:r>
    </w:p>
    <w:p w:rsidR="00F10CA2" w:rsidRPr="0003712D" w:rsidRDefault="00F10CA2" w:rsidP="001B7D79">
      <w:pPr>
        <w:pStyle w:val="a3"/>
        <w:numPr>
          <w:ilvl w:val="0"/>
          <w:numId w:val="17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переведення особи на іншу посаду;</w:t>
      </w:r>
    </w:p>
    <w:p w:rsidR="00F10CA2" w:rsidRPr="0003712D" w:rsidRDefault="00F10CA2" w:rsidP="001B7D79">
      <w:pPr>
        <w:pStyle w:val="a3"/>
        <w:numPr>
          <w:ilvl w:val="0"/>
          <w:numId w:val="17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звільнення особи.</w:t>
      </w:r>
    </w:p>
    <w:p w:rsidR="00F10CA2" w:rsidRPr="0003712D" w:rsidRDefault="00F10CA2" w:rsidP="000650C3">
      <w:pPr>
        <w:pStyle w:val="a3"/>
        <w:numPr>
          <w:ilvl w:val="1"/>
          <w:numId w:val="8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Звільнення особи з займаної посади у зв’язку з наявністю конфлікту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інтересів здійснюється у разі, якщо реальний чи потенційний конфлікт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інтересів у її діяльності має постійний характер і не може бути</w:t>
      </w:r>
      <w:r w:rsidR="00866DB8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врегульований в інший спосіб, в тому числі через відсутність її згоди на</w:t>
      </w:r>
      <w:r w:rsidR="0017785F"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переведення або на позбавлення приватного інтересу.</w:t>
      </w:r>
    </w:p>
    <w:p w:rsidR="0017785F" w:rsidRPr="0003712D" w:rsidRDefault="0017785F" w:rsidP="000650C3">
      <w:pPr>
        <w:spacing w:after="0" w:line="30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2F20" w:rsidRPr="0003712D" w:rsidRDefault="00532F20" w:rsidP="0003712D">
      <w:pPr>
        <w:pStyle w:val="a3"/>
        <w:numPr>
          <w:ilvl w:val="0"/>
          <w:numId w:val="8"/>
        </w:numPr>
        <w:spacing w:after="0" w:line="30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b/>
          <w:sz w:val="24"/>
          <w:szCs w:val="24"/>
          <w:lang w:val="uk-UA"/>
        </w:rPr>
        <w:t>Прикінцеві положення</w:t>
      </w:r>
    </w:p>
    <w:p w:rsidR="00532F20" w:rsidRPr="0003712D" w:rsidRDefault="00532F20" w:rsidP="00873A73">
      <w:pPr>
        <w:pStyle w:val="a3"/>
        <w:numPr>
          <w:ilvl w:val="1"/>
          <w:numId w:val="8"/>
        </w:numPr>
        <w:spacing w:after="0" w:line="30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Положення про запобігання конфлікту інтересів</w:t>
      </w:r>
      <w:r w:rsidR="00873A7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A73" w:rsidRPr="00873A73">
        <w:rPr>
          <w:rFonts w:ascii="Times New Roman" w:hAnsi="Times New Roman" w:cs="Times New Roman"/>
          <w:sz w:val="24"/>
          <w:szCs w:val="24"/>
          <w:lang w:val="uk-UA"/>
        </w:rPr>
        <w:t xml:space="preserve">недопущення залучення і використання коштів фізичних (юридичних) осіб для реклами лікарських засобів, медичних виробів, допоміжних засобів реабілітації або медичних послуг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>під час проведення заходів безперервного професійного розвитку затверджується на засіданні вченої ради</w:t>
      </w:r>
      <w:r w:rsidR="00873A73">
        <w:rPr>
          <w:rFonts w:ascii="Times New Roman" w:hAnsi="Times New Roman" w:cs="Times New Roman"/>
          <w:sz w:val="24"/>
          <w:szCs w:val="24"/>
          <w:lang w:val="uk-UA"/>
        </w:rPr>
        <w:t xml:space="preserve"> ДУ «ІНХ НАМН»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10CA2" w:rsidRPr="0003712D" w:rsidRDefault="00532F20" w:rsidP="00873A73">
      <w:pPr>
        <w:pStyle w:val="a3"/>
        <w:numPr>
          <w:ilvl w:val="1"/>
          <w:numId w:val="8"/>
        </w:numPr>
        <w:spacing w:after="0" w:line="30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Положення набирає чинності з моменту затвердження його вченою радою ДУ «ІНХ НАМН». Положення оприлюднюється на сайті інституту</w:t>
      </w:r>
      <w:r w:rsidR="00F10CA2" w:rsidRPr="000371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0C76" w:rsidRPr="0003712D" w:rsidRDefault="00D10C76" w:rsidP="00873A73">
      <w:pPr>
        <w:spacing w:after="0" w:line="30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C76" w:rsidRPr="0003712D" w:rsidRDefault="00D10C76" w:rsidP="00873A73">
      <w:pPr>
        <w:spacing w:after="0" w:line="30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C76" w:rsidRPr="0003712D" w:rsidRDefault="00D10C76" w:rsidP="0003712D">
      <w:pPr>
        <w:spacing w:after="0" w:line="30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:rsidR="00D10C76" w:rsidRPr="0003712D" w:rsidRDefault="00D10C76" w:rsidP="0003712D">
      <w:pPr>
        <w:spacing w:after="0" w:line="30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Додаток 1 (форма звернення)</w:t>
      </w:r>
    </w:p>
    <w:p w:rsidR="00D10C76" w:rsidRPr="0003712D" w:rsidRDefault="00D10C76" w:rsidP="0003712D">
      <w:pPr>
        <w:spacing w:after="0" w:line="300" w:lineRule="auto"/>
        <w:ind w:right="-1"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Посада керівника</w:t>
      </w:r>
    </w:p>
    <w:p w:rsidR="00D10C76" w:rsidRPr="0003712D" w:rsidRDefault="00D10C76" w:rsidP="0003712D">
      <w:pPr>
        <w:spacing w:after="0" w:line="300" w:lineRule="auto"/>
        <w:ind w:right="-1"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ПІБ керівника</w:t>
      </w:r>
    </w:p>
    <w:p w:rsidR="00D10C76" w:rsidRPr="0003712D" w:rsidRDefault="00D10C76" w:rsidP="0003712D">
      <w:pPr>
        <w:spacing w:after="0" w:line="300" w:lineRule="auto"/>
        <w:ind w:right="-1"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Посада особи що повідомляє</w:t>
      </w:r>
    </w:p>
    <w:p w:rsidR="00D10C76" w:rsidRPr="0003712D" w:rsidRDefault="00D10C76" w:rsidP="0003712D">
      <w:pPr>
        <w:spacing w:after="0" w:line="300" w:lineRule="auto"/>
        <w:ind w:right="-1"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ПІБ повністю</w:t>
      </w:r>
    </w:p>
    <w:p w:rsidR="00D10C76" w:rsidRPr="0003712D" w:rsidRDefault="00D10C76" w:rsidP="0003712D">
      <w:pPr>
        <w:spacing w:after="0" w:line="30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0C76" w:rsidRPr="0003712D" w:rsidRDefault="00D10C76" w:rsidP="0003712D">
      <w:pPr>
        <w:spacing w:after="0" w:line="30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>Повідомлення</w:t>
      </w:r>
    </w:p>
    <w:p w:rsidR="00D10C76" w:rsidRPr="0003712D" w:rsidRDefault="00D10C76" w:rsidP="0003712D">
      <w:pPr>
        <w:spacing w:after="0" w:line="30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i/>
          <w:sz w:val="24"/>
          <w:szCs w:val="24"/>
          <w:lang w:val="uk-UA"/>
        </w:rPr>
        <w:t>Стисло викласти ситуацію, в якій виник реальний/ потенційний конфлікт інтересів.</w:t>
      </w:r>
    </w:p>
    <w:p w:rsidR="00D10C76" w:rsidRPr="0003712D" w:rsidRDefault="00D10C76" w:rsidP="0003712D">
      <w:pPr>
        <w:spacing w:after="0" w:line="30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Додатки (доказові документи, ПІБ свідків і </w:t>
      </w:r>
      <w:proofErr w:type="spellStart"/>
      <w:r w:rsidRPr="0003712D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03712D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D10C76" w:rsidRPr="0003712D" w:rsidRDefault="00D10C76" w:rsidP="0003712D">
      <w:pPr>
        <w:spacing w:after="0" w:line="30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12D">
        <w:rPr>
          <w:rFonts w:ascii="Times New Roman" w:hAnsi="Times New Roman" w:cs="Times New Roman"/>
          <w:sz w:val="24"/>
          <w:szCs w:val="24"/>
          <w:lang w:val="uk-UA"/>
        </w:rPr>
        <w:t xml:space="preserve">Дата повідомлення: </w:t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712D"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</w:p>
    <w:sectPr w:rsidR="00D10C76" w:rsidRPr="0003712D" w:rsidSect="00E5372F">
      <w:footerReference w:type="default" r:id="rId7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16" w:rsidRDefault="00EB5E16" w:rsidP="0070533A">
      <w:pPr>
        <w:spacing w:after="0" w:line="240" w:lineRule="auto"/>
      </w:pPr>
      <w:r>
        <w:separator/>
      </w:r>
    </w:p>
  </w:endnote>
  <w:endnote w:type="continuationSeparator" w:id="0">
    <w:p w:rsidR="00EB5E16" w:rsidRDefault="00EB5E16" w:rsidP="0070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405153"/>
      <w:docPartObj>
        <w:docPartGallery w:val="Page Numbers (Bottom of Page)"/>
        <w:docPartUnique/>
      </w:docPartObj>
    </w:sdtPr>
    <w:sdtEndPr/>
    <w:sdtContent>
      <w:p w:rsidR="0070533A" w:rsidRDefault="007053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D7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16" w:rsidRDefault="00EB5E16" w:rsidP="0070533A">
      <w:pPr>
        <w:spacing w:after="0" w:line="240" w:lineRule="auto"/>
      </w:pPr>
      <w:r>
        <w:separator/>
      </w:r>
    </w:p>
  </w:footnote>
  <w:footnote w:type="continuationSeparator" w:id="0">
    <w:p w:rsidR="00EB5E16" w:rsidRDefault="00EB5E16" w:rsidP="0070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C87"/>
    <w:multiLevelType w:val="multilevel"/>
    <w:tmpl w:val="02024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D4C5A9C"/>
    <w:multiLevelType w:val="hybridMultilevel"/>
    <w:tmpl w:val="9DC2BC48"/>
    <w:lvl w:ilvl="0" w:tplc="DD34CBB8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126572"/>
    <w:multiLevelType w:val="hybridMultilevel"/>
    <w:tmpl w:val="2CCA8A28"/>
    <w:lvl w:ilvl="0" w:tplc="B1EE6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2624"/>
    <w:multiLevelType w:val="multilevel"/>
    <w:tmpl w:val="F5D0B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5314FEC"/>
    <w:multiLevelType w:val="hybridMultilevel"/>
    <w:tmpl w:val="A5FE9EA8"/>
    <w:lvl w:ilvl="0" w:tplc="DD34CBB8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0A218D"/>
    <w:multiLevelType w:val="hybridMultilevel"/>
    <w:tmpl w:val="8776483A"/>
    <w:lvl w:ilvl="0" w:tplc="DD34CBB8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321EDA"/>
    <w:multiLevelType w:val="multilevel"/>
    <w:tmpl w:val="02024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0B7012B"/>
    <w:multiLevelType w:val="hybridMultilevel"/>
    <w:tmpl w:val="5A0E515A"/>
    <w:lvl w:ilvl="0" w:tplc="B1EE6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C5663"/>
    <w:multiLevelType w:val="hybridMultilevel"/>
    <w:tmpl w:val="C46CEBBC"/>
    <w:lvl w:ilvl="0" w:tplc="DD34CBB8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1C0B87"/>
    <w:multiLevelType w:val="hybridMultilevel"/>
    <w:tmpl w:val="F982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944DF"/>
    <w:multiLevelType w:val="hybridMultilevel"/>
    <w:tmpl w:val="8384DBD6"/>
    <w:lvl w:ilvl="0" w:tplc="98D4976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A4C23"/>
    <w:multiLevelType w:val="hybridMultilevel"/>
    <w:tmpl w:val="EBA25E8E"/>
    <w:lvl w:ilvl="0" w:tplc="00E6ECB2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AB56AFF"/>
    <w:multiLevelType w:val="hybridMultilevel"/>
    <w:tmpl w:val="EC0C486C"/>
    <w:lvl w:ilvl="0" w:tplc="DD34CBB8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FC698D"/>
    <w:multiLevelType w:val="hybridMultilevel"/>
    <w:tmpl w:val="86922AB4"/>
    <w:lvl w:ilvl="0" w:tplc="2B1E72DA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3A70C50"/>
    <w:multiLevelType w:val="hybridMultilevel"/>
    <w:tmpl w:val="E7F65F6E"/>
    <w:lvl w:ilvl="0" w:tplc="9FD4FD24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9446794"/>
    <w:multiLevelType w:val="multilevel"/>
    <w:tmpl w:val="02024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79C37436"/>
    <w:multiLevelType w:val="hybridMultilevel"/>
    <w:tmpl w:val="71C4CA2A"/>
    <w:lvl w:ilvl="0" w:tplc="863AF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EB62A0"/>
    <w:multiLevelType w:val="hybridMultilevel"/>
    <w:tmpl w:val="A59A8840"/>
    <w:lvl w:ilvl="0" w:tplc="7A825A18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4"/>
  </w:num>
  <w:num w:numId="5">
    <w:abstractNumId w:val="17"/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A2"/>
    <w:rsid w:val="0003712D"/>
    <w:rsid w:val="000374B2"/>
    <w:rsid w:val="000650C3"/>
    <w:rsid w:val="00085955"/>
    <w:rsid w:val="000928C5"/>
    <w:rsid w:val="000D132D"/>
    <w:rsid w:val="001550BB"/>
    <w:rsid w:val="0017785F"/>
    <w:rsid w:val="001B7D79"/>
    <w:rsid w:val="001D4663"/>
    <w:rsid w:val="002B08DF"/>
    <w:rsid w:val="002E07F1"/>
    <w:rsid w:val="003F0CA9"/>
    <w:rsid w:val="00487644"/>
    <w:rsid w:val="004A329C"/>
    <w:rsid w:val="00523C8F"/>
    <w:rsid w:val="00532F20"/>
    <w:rsid w:val="00547923"/>
    <w:rsid w:val="00621DE2"/>
    <w:rsid w:val="00684B56"/>
    <w:rsid w:val="0070533A"/>
    <w:rsid w:val="00720AC1"/>
    <w:rsid w:val="00763B3C"/>
    <w:rsid w:val="00797350"/>
    <w:rsid w:val="007D2B8D"/>
    <w:rsid w:val="007E38C8"/>
    <w:rsid w:val="007F1E7C"/>
    <w:rsid w:val="00866DB8"/>
    <w:rsid w:val="00873A73"/>
    <w:rsid w:val="008A4320"/>
    <w:rsid w:val="008C53C8"/>
    <w:rsid w:val="00934C2F"/>
    <w:rsid w:val="00937E68"/>
    <w:rsid w:val="00A0509A"/>
    <w:rsid w:val="00A117C6"/>
    <w:rsid w:val="00A351C5"/>
    <w:rsid w:val="00B547AE"/>
    <w:rsid w:val="00C661C7"/>
    <w:rsid w:val="00D10C76"/>
    <w:rsid w:val="00DC6982"/>
    <w:rsid w:val="00DE4A74"/>
    <w:rsid w:val="00E009EF"/>
    <w:rsid w:val="00E5372F"/>
    <w:rsid w:val="00E72398"/>
    <w:rsid w:val="00EB143F"/>
    <w:rsid w:val="00EB5E16"/>
    <w:rsid w:val="00EE7A85"/>
    <w:rsid w:val="00F10CA2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5BEDF-5291-40A1-BB07-C7371FC7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0533A"/>
  </w:style>
  <w:style w:type="paragraph" w:styleId="a6">
    <w:name w:val="footer"/>
    <w:basedOn w:val="a"/>
    <w:link w:val="a7"/>
    <w:uiPriority w:val="99"/>
    <w:unhideWhenUsed/>
    <w:rsid w:val="0070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0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6249</Words>
  <Characters>3563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2022-02-08T12:14:00Z</cp:lastPrinted>
  <dcterms:created xsi:type="dcterms:W3CDTF">2023-12-19T09:08:00Z</dcterms:created>
  <dcterms:modified xsi:type="dcterms:W3CDTF">2023-12-19T11:19:00Z</dcterms:modified>
</cp:coreProperties>
</file>