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250" w:type="dxa"/>
        <w:tblLayout w:type="fixed"/>
        <w:tblLook w:val="00A0"/>
      </w:tblPr>
      <w:tblGrid>
        <w:gridCol w:w="7763"/>
        <w:gridCol w:w="121"/>
        <w:gridCol w:w="7850"/>
        <w:gridCol w:w="142"/>
      </w:tblGrid>
      <w:tr w:rsidR="000B3D3A" w:rsidRPr="00015C70" w:rsidTr="000025B3">
        <w:trPr>
          <w:trHeight w:val="10763"/>
        </w:trPr>
        <w:tc>
          <w:tcPr>
            <w:tcW w:w="7884" w:type="dxa"/>
            <w:gridSpan w:val="2"/>
          </w:tcPr>
          <w:p w:rsidR="000B3D3A" w:rsidRPr="000025B3" w:rsidRDefault="000B3D3A" w:rsidP="000025B3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92" w:type="dxa"/>
            <w:gridSpan w:val="2"/>
          </w:tcPr>
          <w:p w:rsidR="000B3D3A" w:rsidRPr="000025B3" w:rsidRDefault="000B3D3A" w:rsidP="000025B3">
            <w:pPr>
              <w:spacing w:after="0"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40.15pt;margin-top:8.6pt;width:91pt;height:93.5pt;z-index:-251658240;visibility:visible;mso-position-horizontal-relative:text;mso-position-vertical-relative:text" wrapcoords="-179 0 -179 21427 21600 21427 21600 0 -179 0">
                  <v:imagedata r:id="rId5" o:title=""/>
                  <w10:wrap type="tight"/>
                </v:shape>
              </w:pic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15C70">
              <w:object w:dxaOrig="2460" w:dyaOrig="2235">
                <v:shape id="_x0000_i1025" type="#_x0000_t75" style="width:111pt;height:102pt" o:ole="">
                  <v:imagedata r:id="rId6" o:title=""/>
                </v:shape>
                <o:OLEObject Type="Embed" ProgID="Paint.Picture" ShapeID="_x0000_i1025" DrawAspect="Content" ObjectID="_1614599450" r:id="rId7"/>
              </w:object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 xml:space="preserve">        </w:t>
            </w:r>
          </w:p>
          <w:p w:rsidR="000B3D3A" w:rsidRPr="000025B3" w:rsidRDefault="000B3D3A" w:rsidP="000025B3">
            <w:pPr>
              <w:tabs>
                <w:tab w:val="left" w:pos="4950"/>
              </w:tabs>
              <w:spacing w:after="0" w:line="240" w:lineRule="auto"/>
              <w:ind w:left="3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ШКОЛА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 КЛІНІЧНОЇ НЕЙРОФІЗІОЛОГІЇ</w:t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міжнародною участю</w:t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«Актуальні питання електроміографії (ЕМГ).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Травма нервів; туннельні синдроми; диференційна діагностика плексопатій та радикулопатій»</w:t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20-21 квітня 2019 року</w:t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DF">
              <w:rPr>
                <w:rFonts w:ascii="Segoe UI" w:hAnsi="Segoe UI" w:cs="Segoe UI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3" o:spid="_x0000_i1026" type="#_x0000_t75" style="width:198.75pt;height:83.25pt;visibility:visible">
                  <v:imagedata r:id="rId8" o:title=""/>
                </v:shape>
              </w:pict>
            </w: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Київ</w:t>
            </w:r>
          </w:p>
        </w:tc>
      </w:tr>
      <w:tr w:rsidR="000B3D3A" w:rsidRPr="00015C70" w:rsidTr="000025B3">
        <w:trPr>
          <w:gridAfter w:val="1"/>
          <w:wAfter w:w="142" w:type="dxa"/>
          <w:trHeight w:val="10763"/>
        </w:trPr>
        <w:tc>
          <w:tcPr>
            <w:tcW w:w="7763" w:type="dxa"/>
          </w:tcPr>
          <w:p w:rsidR="000B3D3A" w:rsidRPr="000025B3" w:rsidRDefault="000B3D3A" w:rsidP="00002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проведення: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ДУ «Інститут нейрохірургії ім. акад. А.П. Ромоданова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НАМН України», Київ, вул. Платона Майбороди, 32,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корпус, конференц-зал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Організатори: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 «Товариство клінічних нейрофізіологів» 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функціональної діагностики ДУ «Інститут нейрохірургії 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ім. акад. А.П. Ромоданова НАМН України»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Відділення функціональної діагностики з групою рентгенології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ДУ «Інститут травматології та ортопедії НАМН України»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25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Організаційний комітет:</w:t>
            </w:r>
          </w:p>
          <w:p w:rsidR="000B3D3A" w:rsidRPr="000025B3" w:rsidRDefault="000B3D3A" w:rsidP="000025B3">
            <w:pPr>
              <w:spacing w:after="0" w:line="240" w:lineRule="auto"/>
              <w:ind w:right="25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</w:t>
            </w:r>
          </w:p>
          <w:p w:rsidR="000B3D3A" w:rsidRPr="000025B3" w:rsidRDefault="000B3D3A" w:rsidP="000025B3">
            <w:pPr>
              <w:spacing w:after="0" w:line="240" w:lineRule="auto"/>
              <w:ind w:right="2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д.мед.н., професор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Л.Л. Чеботарьова</w:t>
            </w: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, заслужений діяч науки і техніки України; нач. відділу нейрофізіології ДУ «Інститут нейрохірургії ім. акад. А.П. Ромоданова НАМН України»</w:t>
            </w:r>
          </w:p>
          <w:p w:rsidR="000B3D3A" w:rsidRPr="000025B3" w:rsidRDefault="000B3D3A" w:rsidP="000025B3">
            <w:pPr>
              <w:spacing w:after="0" w:line="240" w:lineRule="auto"/>
              <w:ind w:right="251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25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Співголова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д.мед.н. Третьякова А.І., зав відділення функціональної діагностики ДУ «Інститут нейрохірургії ім. акад. А. П. Ромоданова НАМН України»</w:t>
            </w:r>
          </w:p>
          <w:p w:rsidR="000B3D3A" w:rsidRPr="000025B3" w:rsidRDefault="000B3D3A" w:rsidP="000025B3">
            <w:pPr>
              <w:spacing w:after="0" w:line="240" w:lineRule="auto"/>
              <w:ind w:right="2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д.мед.н. Гайко О.Г, зав. відділення функціональної діагностики з групою рентгенології ДУ «Інститут травматології та ортопедії НАМН України».</w:t>
            </w:r>
          </w:p>
          <w:p w:rsidR="000B3D3A" w:rsidRPr="000025B3" w:rsidRDefault="000B3D3A" w:rsidP="000025B3">
            <w:pPr>
              <w:spacing w:after="0" w:line="240" w:lineRule="auto"/>
              <w:ind w:right="25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0B3D3A" w:rsidRPr="000025B3" w:rsidRDefault="000B3D3A" w:rsidP="000025B3">
            <w:pPr>
              <w:spacing w:after="0" w:line="240" w:lineRule="auto"/>
              <w:ind w:right="2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Відповідальний секретар: </w:t>
            </w: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0025B3">
              <w:rPr>
                <w:rFonts w:ascii="Times New Roman" w:hAnsi="Times New Roman"/>
                <w:sz w:val="24"/>
                <w:szCs w:val="24"/>
              </w:rPr>
              <w:t>.</w:t>
            </w: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мед.н. Солонович О.С., Чернявська В.М.</w:t>
            </w:r>
          </w:p>
          <w:p w:rsidR="000B3D3A" w:rsidRPr="000025B3" w:rsidRDefault="000B3D3A" w:rsidP="000025B3">
            <w:pPr>
              <w:spacing w:after="0" w:line="259" w:lineRule="auto"/>
              <w:ind w:right="2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D3A" w:rsidRPr="000025B3" w:rsidRDefault="000B3D3A" w:rsidP="000025B3">
            <w:pPr>
              <w:spacing w:after="0" w:line="360" w:lineRule="auto"/>
              <w:ind w:right="709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Партнери конференції:</w:t>
            </w:r>
          </w:p>
          <w:p w:rsidR="000B3D3A" w:rsidRPr="000025B3" w:rsidRDefault="000B3D3A" w:rsidP="000025B3">
            <w:pPr>
              <w:spacing w:after="0" w:line="360" w:lineRule="auto"/>
              <w:ind w:right="709"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B3">
              <w:rPr>
                <w:rFonts w:ascii="Times New Roman" w:hAnsi="Times New Roman"/>
                <w:bCs/>
                <w:sz w:val="24"/>
                <w:szCs w:val="24"/>
              </w:rPr>
              <w:t>ТОВ «Спектромед Україна»</w:t>
            </w:r>
          </w:p>
          <w:p w:rsidR="000B3D3A" w:rsidRPr="000025B3" w:rsidRDefault="000B3D3A" w:rsidP="000025B3">
            <w:pPr>
              <w:spacing w:after="0" w:line="360" w:lineRule="auto"/>
              <w:ind w:right="709"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25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NATUS</w:t>
            </w:r>
          </w:p>
          <w:p w:rsidR="000B3D3A" w:rsidRPr="000025B3" w:rsidRDefault="000B3D3A" w:rsidP="000025B3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71" w:type="dxa"/>
            <w:gridSpan w:val="2"/>
          </w:tcPr>
          <w:p w:rsidR="000B3D3A" w:rsidRPr="000025B3" w:rsidRDefault="000B3D3A" w:rsidP="000025B3">
            <w:pPr>
              <w:spacing w:after="0" w:line="240" w:lineRule="auto"/>
              <w:ind w:left="384" w:right="-1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ПРОГРАМА</w:t>
            </w:r>
          </w:p>
          <w:p w:rsidR="000B3D3A" w:rsidRPr="000025B3" w:rsidRDefault="000B3D3A" w:rsidP="000025B3">
            <w:pPr>
              <w:spacing w:after="0" w:line="240" w:lineRule="auto"/>
              <w:ind w:left="384" w:right="2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8049" w:type="dxa"/>
              <w:tblLayout w:type="fixed"/>
              <w:tblLook w:val="00A0"/>
            </w:tblPr>
            <w:tblGrid>
              <w:gridCol w:w="1913"/>
              <w:gridCol w:w="5990"/>
              <w:gridCol w:w="146"/>
            </w:tblGrid>
            <w:tr w:rsidR="000B3D3A" w:rsidRPr="00015C70" w:rsidTr="000025B3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9: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0-10:00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Реєстрація учасників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10:00-10:10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Привітання, вступне слово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професор Чеботарьова Л.Л. 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10:10-10:40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Травма нервів: діагностика та можливості відновлення 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д.мед.н., Третяк І.Б., к.мед.н. Гацький О.О. Відділення відновної нейрохірургії ДУ «Інститут нейрохірургії ім. акад. А.П. Ромоданова НАМН України »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bCs/>
                      <w:i/>
                      <w:lang w:val="en-US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10:40-11:10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Моніторинг травматичних уражень нервів в динаміці лікування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1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Гайко О.Г., зав відділення функціональної діагностики з групою рентгенології ДУ «Інститут травматології та ортопедії НАМН України»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1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11:10-11:50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Диференційна діагностика нейропатії ліктьового нерва в кубітальному каналі та каналі Гійона (на основі досвіду практичної роботи) 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i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д.мед.н., професор </w:t>
                  </w: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В.М. Команцев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провідний науковий співробітник відділення клінічної нейрофізіології Санкт-Петербурзького науково-дослідного психоневрологічного інституту ім. В.М. Бехтерева, дійсний член Російської Академії Медико-технічних Наук, член Російської Асоціації неврологів, член Міжнародної Федерації Клінічних нейрофізіології (IFCN).</w:t>
                  </w: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11:50-12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:20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line="240" w:lineRule="auto"/>
                    <w:ind w:right="1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Діагностика та лікування проксимальних туннельних невропатій </w:t>
                  </w:r>
                </w:p>
                <w:p w:rsidR="000B3D3A" w:rsidRPr="000025B3" w:rsidRDefault="000B3D3A" w:rsidP="00A167DB">
                  <w:pPr>
                    <w:spacing w:line="240" w:lineRule="auto"/>
                    <w:ind w:right="10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д.мед.н. Третьякова А.І., зав відділення функціональної діагностики ДУ «Інститут нейрохірургії ім. акад. А. П. Ромоданова НАМН України»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i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bCs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12:20-13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:00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  <w:t>Норма в нейрофізіології: теорія і практика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i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д.мед.н., професор </w:t>
                  </w: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В.М. Команцев</w:t>
                  </w: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bCs/>
                      <w:lang w:val="en-US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13:00-14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:00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i/>
                      <w:sz w:val="24"/>
                      <w:szCs w:val="28"/>
                      <w:lang w:val="uk-UA"/>
                    </w:rPr>
                    <w:t>Фуршет</w:t>
                  </w:r>
                </w:p>
              </w:tc>
            </w:tr>
            <w:tr w:rsidR="000B3D3A" w:rsidRPr="00015C70" w:rsidTr="000025B3">
              <w:trPr>
                <w:gridAfter w:val="1"/>
                <w:wAfter w:w="146" w:type="dxa"/>
                <w:trHeight w:val="655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bCs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14:00-16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:30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  <w:t>Brachial plexopathy (Parsonage Turner) and EDX of upper limb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  <w:t>Виявлення найбільш поширених мононевропатій  верхніх і нижніх кінцівок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8"/>
                      <w:lang w:val="uk-UA"/>
                    </w:rPr>
                    <w:t>ЕМГ підхід до цервікальної радикулопатії/ Плечової плексопатії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Pascal Proot,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MD, department of 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Neurolog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y, University Gent, Belgium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B3D3A" w:rsidRPr="00015C70" w:rsidTr="00631484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90" w:type="dxa"/>
                  <w:tcBorders>
                    <w:left w:val="single" w:sz="4" w:space="0" w:color="auto"/>
                    <w:bottom w:val="nil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Challenging</w:t>
                  </w: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Cases</w:t>
                  </w: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</w:t>
                  </w: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Roundtable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Учасникам пропонується привести свої клінічні незрозумілі випадки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lang w:val="uk-UA"/>
                    </w:rPr>
                  </w:pPr>
                </w:p>
              </w:tc>
            </w:tr>
            <w:tr w:rsidR="000B3D3A" w:rsidRPr="00015C70" w:rsidTr="00631484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right w:val="nil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90" w:type="dxa"/>
                  <w:tcBorders>
                    <w:left w:val="nil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631484">
              <w:tc>
                <w:tcPr>
                  <w:tcW w:w="1913" w:type="dxa"/>
                  <w:tcBorders>
                    <w:right w:val="nil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136" w:type="dxa"/>
                  <w:gridSpan w:val="2"/>
                  <w:tcBorders>
                    <w:left w:val="nil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631484">
              <w:tc>
                <w:tcPr>
                  <w:tcW w:w="1913" w:type="dxa"/>
                  <w:tcBorders>
                    <w:right w:val="nil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136" w:type="dxa"/>
                  <w:gridSpan w:val="2"/>
                  <w:tcBorders>
                    <w:left w:val="nil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0B3D3A" w:rsidRPr="000025B3" w:rsidRDefault="000B3D3A" w:rsidP="000025B3">
            <w:pPr>
              <w:spacing w:after="0" w:line="259" w:lineRule="auto"/>
              <w:ind w:left="384" w:right="217"/>
              <w:rPr>
                <w:noProof/>
                <w:lang w:val="uk-UA" w:eastAsia="uk-UA"/>
              </w:rPr>
            </w:pPr>
          </w:p>
        </w:tc>
      </w:tr>
      <w:tr w:rsidR="000B3D3A" w:rsidTr="00820D00">
        <w:trPr>
          <w:gridAfter w:val="1"/>
          <w:wAfter w:w="142" w:type="dxa"/>
          <w:trHeight w:val="10415"/>
        </w:trPr>
        <w:tc>
          <w:tcPr>
            <w:tcW w:w="7763" w:type="dxa"/>
          </w:tcPr>
          <w:p w:rsidR="000B3D3A" w:rsidRPr="000025B3" w:rsidRDefault="000B3D3A" w:rsidP="00002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проведення: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ДУ «Інститут нейрохірургії ім. акад. А.П. Ромоданова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sz w:val="24"/>
                <w:szCs w:val="24"/>
                <w:lang w:val="uk-UA"/>
              </w:rPr>
              <w:t>НАМН України», Київ, вул. Платона Майбороди, 32, конференц-зал</w:t>
            </w: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B3D3A" w:rsidRPr="000025B3" w:rsidRDefault="000B3D3A" w:rsidP="000025B3">
            <w:pPr>
              <w:spacing w:after="0" w:line="360" w:lineRule="auto"/>
              <w:ind w:right="709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71" w:type="dxa"/>
            <w:gridSpan w:val="2"/>
          </w:tcPr>
          <w:p w:rsidR="000B3D3A" w:rsidRPr="000025B3" w:rsidRDefault="000B3D3A" w:rsidP="000025B3">
            <w:pPr>
              <w:spacing w:after="0" w:line="259" w:lineRule="auto"/>
              <w:ind w:left="384" w:right="217"/>
              <w:rPr>
                <w:noProof/>
                <w:lang w:val="uk-UA" w:eastAsia="uk-UA"/>
              </w:rPr>
            </w:pPr>
            <w:r w:rsidRPr="000025B3">
              <w:rPr>
                <w:noProof/>
                <w:lang w:val="uk-UA" w:eastAsia="uk-UA"/>
              </w:rPr>
              <w:t xml:space="preserve"> </w:t>
            </w:r>
          </w:p>
          <w:p w:rsidR="000B3D3A" w:rsidRPr="000025B3" w:rsidRDefault="000B3D3A" w:rsidP="000025B3">
            <w:pPr>
              <w:spacing w:after="0" w:line="259" w:lineRule="auto"/>
              <w:ind w:left="384" w:right="217"/>
              <w:rPr>
                <w:noProof/>
                <w:lang w:val="uk-UA" w:eastAsia="uk-UA"/>
              </w:rPr>
            </w:pPr>
          </w:p>
          <w:p w:rsidR="000B3D3A" w:rsidRPr="000025B3" w:rsidRDefault="000B3D3A" w:rsidP="000025B3">
            <w:pPr>
              <w:spacing w:after="0" w:line="240" w:lineRule="auto"/>
              <w:ind w:left="384" w:right="-1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ПРОГРАМА ПРАКТИЧНОГО ЗАНЯТТЯ </w:t>
            </w:r>
          </w:p>
          <w:p w:rsidR="000B3D3A" w:rsidRPr="000025B3" w:rsidRDefault="000B3D3A" w:rsidP="000025B3">
            <w:pPr>
              <w:spacing w:after="0" w:line="240" w:lineRule="auto"/>
              <w:ind w:left="384" w:right="-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5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(навчальний протокол)</w:t>
            </w:r>
          </w:p>
          <w:p w:rsidR="000B3D3A" w:rsidRPr="000025B3" w:rsidRDefault="000B3D3A" w:rsidP="000025B3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Plexopathy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\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Radiculopathy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protocol</w:t>
            </w:r>
            <w:r w:rsidRPr="0000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B3D3A" w:rsidRPr="000025B3" w:rsidRDefault="000B3D3A" w:rsidP="000025B3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0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Майстер-клас на комп’ютерному електроміографі </w:t>
            </w:r>
            <w:r w:rsidRPr="00002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Nicolet</w:t>
            </w:r>
            <w:r w:rsidRPr="0000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02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</w:t>
            </w:r>
            <w:r w:rsidRPr="0000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025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Natus</w:t>
            </w:r>
            <w:r w:rsidRPr="0000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Нейро-МВП-4 </w:t>
            </w:r>
          </w:p>
          <w:p w:rsidR="000B3D3A" w:rsidRPr="000025B3" w:rsidRDefault="000B3D3A" w:rsidP="00002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Pascal Proot,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MD, department of 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Neurolog</w:t>
            </w:r>
            <w:r w:rsidRPr="00002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y, University Gent, Belgium</w:t>
            </w:r>
          </w:p>
          <w:p w:rsidR="000B3D3A" w:rsidRPr="000025B3" w:rsidRDefault="000B3D3A" w:rsidP="000025B3">
            <w:pPr>
              <w:spacing w:after="0" w:line="240" w:lineRule="auto"/>
              <w:ind w:left="384" w:right="-11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14039" w:type="dxa"/>
              <w:tblLayout w:type="fixed"/>
              <w:tblLook w:val="00A0"/>
            </w:tblPr>
            <w:tblGrid>
              <w:gridCol w:w="1913"/>
              <w:gridCol w:w="5990"/>
              <w:gridCol w:w="5990"/>
              <w:gridCol w:w="146"/>
            </w:tblGrid>
            <w:tr w:rsidR="000B3D3A" w:rsidRPr="00015C70" w:rsidTr="000025B3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9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9:30-10:00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Реєстрація учасників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b/>
                      <w:bCs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10:00-16</w:t>
                  </w:r>
                  <w:r w:rsidRPr="000025B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:30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Challenging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Cases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Демонстрація основних методик на волонтерах, розбір клінічних випадків в малих групах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Teaching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Plexopathy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\ 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Radiculopathy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protocol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1)</w:t>
                  </w: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Establish a clinical and EDX approach to disorders affecting the cervical and lumbosacral roots and plexus.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2)Identify and distinguish findings between lumbar radiculopathies versus disorders affecting the lumbosacral plexus.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Entrapment Neuropathies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Identify the best approaches for diagnosing ulnar and peroneal neuropathies.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Discuss how to formulate prognostic statements in focal neuropathies.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ab/>
                    <w:t xml:space="preserve"> 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These sessions are small group venues designed to be interactive so that trainees can learn EMG.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Pascal Proot, MD, department of   Neurology, University Gent, Belgium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B3D3A" w:rsidRPr="00015C70" w:rsidTr="000025B3">
              <w:trPr>
                <w:gridAfter w:val="1"/>
                <w:wAfter w:w="146" w:type="dxa"/>
              </w:trPr>
              <w:tc>
                <w:tcPr>
                  <w:tcW w:w="1913" w:type="dxa"/>
                  <w:tcBorders>
                    <w:righ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13:00-14:00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25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Фуршет</w:t>
                  </w:r>
                </w:p>
              </w:tc>
              <w:tc>
                <w:tcPr>
                  <w:tcW w:w="5990" w:type="dxa"/>
                  <w:tcBorders>
                    <w:left w:val="single" w:sz="4" w:space="0" w:color="auto"/>
                  </w:tcBorders>
                </w:tcPr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B3D3A" w:rsidRPr="00D96A18" w:rsidTr="000025B3">
              <w:tc>
                <w:tcPr>
                  <w:tcW w:w="1913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 w:line="240" w:lineRule="auto"/>
                    <w:ind w:left="384" w:right="2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14:00-16:30</w:t>
                  </w:r>
                </w:p>
              </w:tc>
              <w:tc>
                <w:tcPr>
                  <w:tcW w:w="5990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bCs/>
                      <w:lang w:val="en-GB"/>
                    </w:rPr>
                    <w:t>Paraspinal mapping and the evaluation of lumbosacral plexopathy\ radiculopathy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bCs/>
                      <w:i/>
                      <w:caps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bCs/>
                      <w:i/>
                      <w:lang w:val="uk-UA"/>
                    </w:rPr>
                    <w:t>Круглий стіл. Обговорення клінічних випадків</w:t>
                  </w:r>
                </w:p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136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0B3D3A" w:rsidRPr="000025B3" w:rsidRDefault="000B3D3A" w:rsidP="000025B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aps/>
                      <w:sz w:val="24"/>
                      <w:szCs w:val="24"/>
                      <w:lang w:val="en-GB"/>
                    </w:rPr>
                  </w:pPr>
                  <w:r w:rsidRPr="000025B3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Paraspinal Mapping and the Evaluation of Lumbosacral Plexopathy\ Radiculopathy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0025B3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Круглий стіл. Обговорення клінічних випадків.</w:t>
                  </w:r>
                </w:p>
                <w:p w:rsidR="000B3D3A" w:rsidRPr="000025B3" w:rsidRDefault="000B3D3A" w:rsidP="000025B3">
                  <w:pPr>
                    <w:spacing w:after="0" w:line="240" w:lineRule="auto"/>
                    <w:ind w:right="21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0B3D3A" w:rsidRPr="00820D00" w:rsidRDefault="000B3D3A" w:rsidP="00820D00">
            <w:pPr>
              <w:spacing w:after="0" w:line="240" w:lineRule="auto"/>
              <w:ind w:left="384" w:right="217"/>
              <w:rPr>
                <w:noProof/>
                <w:lang w:val="en-US" w:eastAsia="uk-UA"/>
              </w:rPr>
            </w:pPr>
          </w:p>
        </w:tc>
      </w:tr>
    </w:tbl>
    <w:p w:rsidR="000B3D3A" w:rsidRPr="00820D00" w:rsidRDefault="000B3D3A" w:rsidP="00D96A18">
      <w:pPr>
        <w:rPr>
          <w:lang w:val="en-US"/>
        </w:rPr>
      </w:pPr>
    </w:p>
    <w:sectPr w:rsidR="000B3D3A" w:rsidRPr="00820D00" w:rsidSect="00E55CED">
      <w:type w:val="continuous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84F"/>
    <w:multiLevelType w:val="hybridMultilevel"/>
    <w:tmpl w:val="6CF4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C5C"/>
    <w:rsid w:val="000025B3"/>
    <w:rsid w:val="00015C70"/>
    <w:rsid w:val="00025C04"/>
    <w:rsid w:val="0004346C"/>
    <w:rsid w:val="00044194"/>
    <w:rsid w:val="00064F23"/>
    <w:rsid w:val="000716F2"/>
    <w:rsid w:val="00071CCE"/>
    <w:rsid w:val="0007459A"/>
    <w:rsid w:val="0008078C"/>
    <w:rsid w:val="0008416A"/>
    <w:rsid w:val="000B3D3A"/>
    <w:rsid w:val="000B4B15"/>
    <w:rsid w:val="000C3724"/>
    <w:rsid w:val="000C6661"/>
    <w:rsid w:val="000D3FB9"/>
    <w:rsid w:val="001427E7"/>
    <w:rsid w:val="00154E77"/>
    <w:rsid w:val="00180E08"/>
    <w:rsid w:val="00192A67"/>
    <w:rsid w:val="001A2F52"/>
    <w:rsid w:val="001C0775"/>
    <w:rsid w:val="001C3CCB"/>
    <w:rsid w:val="001D7B0D"/>
    <w:rsid w:val="00201565"/>
    <w:rsid w:val="00221332"/>
    <w:rsid w:val="00227ED2"/>
    <w:rsid w:val="00236678"/>
    <w:rsid w:val="0023699C"/>
    <w:rsid w:val="0024066D"/>
    <w:rsid w:val="00250264"/>
    <w:rsid w:val="00263D88"/>
    <w:rsid w:val="002B6AFE"/>
    <w:rsid w:val="002C445F"/>
    <w:rsid w:val="002D3668"/>
    <w:rsid w:val="002D587E"/>
    <w:rsid w:val="002E02C8"/>
    <w:rsid w:val="003746D1"/>
    <w:rsid w:val="00383DD6"/>
    <w:rsid w:val="00387C5C"/>
    <w:rsid w:val="003C52A4"/>
    <w:rsid w:val="003C64EA"/>
    <w:rsid w:val="003C7662"/>
    <w:rsid w:val="003E1AD0"/>
    <w:rsid w:val="003F3BDE"/>
    <w:rsid w:val="003F6E7A"/>
    <w:rsid w:val="00417D50"/>
    <w:rsid w:val="00484FC5"/>
    <w:rsid w:val="004C2182"/>
    <w:rsid w:val="004C2878"/>
    <w:rsid w:val="004C3397"/>
    <w:rsid w:val="004D4342"/>
    <w:rsid w:val="004E7A86"/>
    <w:rsid w:val="004F455B"/>
    <w:rsid w:val="0050011F"/>
    <w:rsid w:val="005022EA"/>
    <w:rsid w:val="00507868"/>
    <w:rsid w:val="00541E9A"/>
    <w:rsid w:val="00587D15"/>
    <w:rsid w:val="00587FC4"/>
    <w:rsid w:val="00594B25"/>
    <w:rsid w:val="00594C6D"/>
    <w:rsid w:val="005A74E5"/>
    <w:rsid w:val="005B782A"/>
    <w:rsid w:val="005F6E0C"/>
    <w:rsid w:val="00616106"/>
    <w:rsid w:val="00622949"/>
    <w:rsid w:val="00631484"/>
    <w:rsid w:val="0065074E"/>
    <w:rsid w:val="00661598"/>
    <w:rsid w:val="006722F3"/>
    <w:rsid w:val="00694ADF"/>
    <w:rsid w:val="006A442A"/>
    <w:rsid w:val="006B1567"/>
    <w:rsid w:val="006D5DE5"/>
    <w:rsid w:val="00737020"/>
    <w:rsid w:val="00741B09"/>
    <w:rsid w:val="007552DD"/>
    <w:rsid w:val="007A14EE"/>
    <w:rsid w:val="007A5BD9"/>
    <w:rsid w:val="007B45FC"/>
    <w:rsid w:val="007B52BC"/>
    <w:rsid w:val="007C463F"/>
    <w:rsid w:val="007D267E"/>
    <w:rsid w:val="007E7B6A"/>
    <w:rsid w:val="00820D00"/>
    <w:rsid w:val="00857E4C"/>
    <w:rsid w:val="008606BF"/>
    <w:rsid w:val="008731B2"/>
    <w:rsid w:val="00882F32"/>
    <w:rsid w:val="008B5620"/>
    <w:rsid w:val="008F3CFD"/>
    <w:rsid w:val="008F55AE"/>
    <w:rsid w:val="0091622B"/>
    <w:rsid w:val="00965A37"/>
    <w:rsid w:val="0099654B"/>
    <w:rsid w:val="00A114C1"/>
    <w:rsid w:val="00A167DB"/>
    <w:rsid w:val="00A51AB4"/>
    <w:rsid w:val="00A84B29"/>
    <w:rsid w:val="00A91278"/>
    <w:rsid w:val="00B05DB0"/>
    <w:rsid w:val="00B40C0D"/>
    <w:rsid w:val="00B56126"/>
    <w:rsid w:val="00B56F15"/>
    <w:rsid w:val="00B93B41"/>
    <w:rsid w:val="00BA0C82"/>
    <w:rsid w:val="00BC1646"/>
    <w:rsid w:val="00C02C51"/>
    <w:rsid w:val="00C31BCC"/>
    <w:rsid w:val="00C705BE"/>
    <w:rsid w:val="00C90E79"/>
    <w:rsid w:val="00CD097B"/>
    <w:rsid w:val="00CE5408"/>
    <w:rsid w:val="00D13933"/>
    <w:rsid w:val="00D24DE2"/>
    <w:rsid w:val="00D4017D"/>
    <w:rsid w:val="00D52835"/>
    <w:rsid w:val="00D65269"/>
    <w:rsid w:val="00D820CD"/>
    <w:rsid w:val="00D850A8"/>
    <w:rsid w:val="00D87988"/>
    <w:rsid w:val="00D96A18"/>
    <w:rsid w:val="00DA2267"/>
    <w:rsid w:val="00DA3B57"/>
    <w:rsid w:val="00DB4B52"/>
    <w:rsid w:val="00E052EA"/>
    <w:rsid w:val="00E404E6"/>
    <w:rsid w:val="00E41352"/>
    <w:rsid w:val="00E55CED"/>
    <w:rsid w:val="00E618AD"/>
    <w:rsid w:val="00E7528A"/>
    <w:rsid w:val="00E84E27"/>
    <w:rsid w:val="00E908D0"/>
    <w:rsid w:val="00ED43C6"/>
    <w:rsid w:val="00EE66AA"/>
    <w:rsid w:val="00F30571"/>
    <w:rsid w:val="00F52031"/>
    <w:rsid w:val="00F83C7F"/>
    <w:rsid w:val="00F95933"/>
    <w:rsid w:val="00FA768D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4B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B2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99"/>
    <w:rsid w:val="0023699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41">
    <w:name w:val="Таблица простая 41"/>
    <w:uiPriority w:val="99"/>
    <w:rsid w:val="00E618A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55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983</TotalTime>
  <Pages>4</Pages>
  <Words>529</Words>
  <Characters>4004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Nikiforova</cp:lastModifiedBy>
  <cp:revision>67</cp:revision>
  <cp:lastPrinted>2019-03-20T12:42:00Z</cp:lastPrinted>
  <dcterms:created xsi:type="dcterms:W3CDTF">2017-11-10T08:34:00Z</dcterms:created>
  <dcterms:modified xsi:type="dcterms:W3CDTF">2019-03-20T13:04:00Z</dcterms:modified>
</cp:coreProperties>
</file>